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27" w:rsidRDefault="00DF58B0">
      <w:r>
        <w:rPr>
          <w:rFonts w:hint="eastAsia"/>
        </w:rPr>
        <w:t>附件四：</w:t>
      </w:r>
    </w:p>
    <w:p w:rsidR="006E1427" w:rsidRDefault="00DF58B0">
      <w:pPr>
        <w:widowControl/>
        <w:jc w:val="center"/>
        <w:rPr>
          <w:rStyle w:val="15"/>
          <w:rFonts w:ascii="宋体" w:hAnsi="宋体"/>
          <w:color w:val="333333"/>
          <w:kern w:val="0"/>
          <w:shd w:val="clear" w:color="auto" w:fill="FFFFFF"/>
        </w:rPr>
      </w:pPr>
      <w:r>
        <w:rPr>
          <w:rStyle w:val="15"/>
          <w:rFonts w:ascii="宋体" w:hAnsi="宋体" w:hint="eastAsia"/>
          <w:color w:val="333333"/>
          <w:kern w:val="0"/>
          <w:shd w:val="clear" w:color="auto" w:fill="FFFFFF"/>
        </w:rPr>
        <w:t>入库申请人入库申请资料一览表</w:t>
      </w:r>
    </w:p>
    <w:p w:rsidR="006E1427" w:rsidRDefault="00DF58B0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  <w:r>
        <w:rPr>
          <w:rFonts w:ascii="宋体" w:hAnsi="宋体" w:hint="eastAsia"/>
          <w:color w:val="333333"/>
          <w:kern w:val="0"/>
          <w:shd w:val="clear" w:color="auto" w:fill="FFFFFF"/>
        </w:rPr>
        <w:t>工程名称：</w:t>
      </w:r>
      <w:r>
        <w:rPr>
          <w:rFonts w:ascii="宋体" w:hAnsi="宋体" w:hint="eastAsia"/>
          <w:bCs/>
          <w:color w:val="333333"/>
          <w:kern w:val="0"/>
          <w:szCs w:val="21"/>
          <w:shd w:val="clear" w:color="auto" w:fill="FFFFFF"/>
        </w:rPr>
        <w:t>广州市白云区建筑业联合会征集</w:t>
      </w:r>
      <w:r w:rsidR="00AF1CAD">
        <w:rPr>
          <w:rFonts w:ascii="宋体" w:hAnsi="宋体" w:hint="eastAsia"/>
          <w:bCs/>
          <w:color w:val="333333"/>
          <w:kern w:val="0"/>
          <w:szCs w:val="21"/>
          <w:shd w:val="clear" w:color="auto" w:fill="FFFFFF"/>
        </w:rPr>
        <w:t>品牌</w:t>
      </w:r>
      <w:r>
        <w:rPr>
          <w:rFonts w:ascii="宋体" w:hAnsi="宋体" w:hint="eastAsia"/>
          <w:bCs/>
          <w:color w:val="333333"/>
          <w:kern w:val="0"/>
          <w:szCs w:val="21"/>
          <w:shd w:val="clear" w:color="auto" w:fill="FFFFFF"/>
        </w:rPr>
        <w:t>供应商入库</w:t>
      </w:r>
      <w:r>
        <w:rPr>
          <w:rFonts w:ascii="宋体" w:hAnsi="宋体" w:hint="eastAsia"/>
          <w:color w:val="333333"/>
          <w:kern w:val="0"/>
          <w:szCs w:val="21"/>
          <w:shd w:val="clear" w:color="auto" w:fill="FFFFFF"/>
        </w:rPr>
        <w:t>（××库）</w:t>
      </w:r>
      <w:r>
        <w:rPr>
          <w:rFonts w:ascii="宋体" w:hAnsi="宋体" w:hint="eastAsia"/>
          <w:color w:val="333333"/>
          <w:kern w:val="0"/>
          <w:shd w:val="clear" w:color="auto" w:fill="FFFFFF"/>
        </w:rPr>
        <w:br/>
      </w:r>
      <w:r>
        <w:rPr>
          <w:rFonts w:ascii="宋体" w:hAnsi="宋体" w:hint="eastAsia"/>
          <w:color w:val="333333"/>
          <w:kern w:val="0"/>
          <w:shd w:val="clear" w:color="auto" w:fill="FFFFFF"/>
        </w:rPr>
        <w:t>入库申请单位（盖章）：</w:t>
      </w:r>
    </w:p>
    <w:tbl>
      <w:tblPr>
        <w:tblW w:w="10379" w:type="dxa"/>
        <w:jc w:val="center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4899"/>
        <w:gridCol w:w="631"/>
        <w:gridCol w:w="873"/>
        <w:gridCol w:w="1051"/>
        <w:gridCol w:w="1051"/>
        <w:gridCol w:w="1303"/>
      </w:tblGrid>
      <w:tr w:rsidR="006E1427">
        <w:trPr>
          <w:trHeight w:val="316"/>
          <w:jc w:val="center"/>
        </w:trPr>
        <w:tc>
          <w:tcPr>
            <w:tcW w:w="571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4899" w:type="dxa"/>
            <w:vMerge w:val="restart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631" w:type="dxa"/>
            <w:vMerge w:val="restart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资审资料页码</w:t>
            </w:r>
          </w:p>
        </w:tc>
        <w:tc>
          <w:tcPr>
            <w:tcW w:w="873" w:type="dxa"/>
            <w:vMerge w:val="restart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报名提交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资料要求</w:t>
            </w:r>
          </w:p>
        </w:tc>
        <w:tc>
          <w:tcPr>
            <w:tcW w:w="2102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自查结论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（由入库申请单位填写）</w:t>
            </w:r>
          </w:p>
        </w:tc>
        <w:tc>
          <w:tcPr>
            <w:tcW w:w="1303" w:type="dxa"/>
            <w:vMerge w:val="restart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6E1427">
        <w:trPr>
          <w:trHeight w:val="316"/>
          <w:jc w:val="center"/>
        </w:trPr>
        <w:tc>
          <w:tcPr>
            <w:tcW w:w="571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899" w:type="dxa"/>
            <w:vMerge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通过</w:t>
            </w:r>
          </w:p>
        </w:tc>
        <w:tc>
          <w:tcPr>
            <w:tcW w:w="10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不通过</w:t>
            </w:r>
          </w:p>
        </w:tc>
        <w:tc>
          <w:tcPr>
            <w:tcW w:w="1303" w:type="dxa"/>
            <w:vMerge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6E1427">
        <w:trPr>
          <w:trHeight w:val="540"/>
          <w:jc w:val="center"/>
        </w:trPr>
        <w:tc>
          <w:tcPr>
            <w:tcW w:w="5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9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法定代表人签字并加盖单位公章的《广州市白云区建筑业联合会品牌供应商入库申请表》</w:t>
            </w:r>
          </w:p>
        </w:tc>
        <w:tc>
          <w:tcPr>
            <w:tcW w:w="63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原件</w:t>
            </w:r>
          </w:p>
        </w:tc>
        <w:tc>
          <w:tcPr>
            <w:tcW w:w="10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</w:tr>
      <w:tr w:rsidR="006E1427">
        <w:trPr>
          <w:trHeight w:val="330"/>
          <w:jc w:val="center"/>
        </w:trPr>
        <w:tc>
          <w:tcPr>
            <w:tcW w:w="5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9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法定代表人证明书或经法定代表人签字、单位盖章的授权委托书；法人授权委托人的身份证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法定代表人身份证复印件</w:t>
            </w:r>
          </w:p>
        </w:tc>
        <w:tc>
          <w:tcPr>
            <w:tcW w:w="63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原件</w:t>
            </w:r>
          </w:p>
        </w:tc>
        <w:tc>
          <w:tcPr>
            <w:tcW w:w="10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</w:tr>
      <w:tr w:rsidR="006E1427">
        <w:trPr>
          <w:trHeight w:val="241"/>
          <w:jc w:val="center"/>
        </w:trPr>
        <w:tc>
          <w:tcPr>
            <w:tcW w:w="5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9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企业营业执照副本复印件（或三证合一证件）</w:t>
            </w:r>
          </w:p>
        </w:tc>
        <w:tc>
          <w:tcPr>
            <w:tcW w:w="63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复印件</w:t>
            </w:r>
          </w:p>
        </w:tc>
        <w:tc>
          <w:tcPr>
            <w:tcW w:w="10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</w:tr>
      <w:tr w:rsidR="006E1427">
        <w:trPr>
          <w:trHeight w:val="241"/>
          <w:jc w:val="center"/>
        </w:trPr>
        <w:tc>
          <w:tcPr>
            <w:tcW w:w="5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89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在广州市商事业主体信息公示平台（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http://cri.gz.gov.cn/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）或国家企业信用信息公示系统（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http://www.gsxt.gov.cn/corp-query-search-1.html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）有登记的并不在异常经营名录上的，提供网站截图或打印页</w:t>
            </w:r>
          </w:p>
        </w:tc>
        <w:tc>
          <w:tcPr>
            <w:tcW w:w="63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复印件</w:t>
            </w:r>
          </w:p>
        </w:tc>
        <w:tc>
          <w:tcPr>
            <w:tcW w:w="10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</w:tr>
      <w:tr w:rsidR="006E1427">
        <w:trPr>
          <w:trHeight w:val="241"/>
          <w:jc w:val="center"/>
        </w:trPr>
        <w:tc>
          <w:tcPr>
            <w:tcW w:w="5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89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入库申请人及其有隶属关系的机构没有参加本次建库工作，且与建库单位没有隶属关系或其他利害关系；没有处于被责令停业的状态；没有处于被行政主管部门取消投标资格的处罚期内；没有处于财产被接管、冻结、破产的状态；在交易报名截止日期前三年内本公司没有弄虚作假骗取中标、围标串标行为；近三年无不良记录和法律、法规、规章禁止的其他情形；</w:t>
            </w:r>
          </w:p>
        </w:tc>
        <w:tc>
          <w:tcPr>
            <w:tcW w:w="63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原件</w:t>
            </w:r>
          </w:p>
        </w:tc>
        <w:tc>
          <w:tcPr>
            <w:tcW w:w="10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</w:tr>
      <w:tr w:rsidR="006E1427">
        <w:trPr>
          <w:trHeight w:val="413"/>
          <w:jc w:val="center"/>
        </w:trPr>
        <w:tc>
          <w:tcPr>
            <w:tcW w:w="571" w:type="dxa"/>
            <w:tcBorders>
              <w:top w:val="single" w:sz="0" w:space="0" w:color="auto"/>
              <w:left w:val="inset" w:sz="6" w:space="0" w:color="auto"/>
              <w:bottom w:val="single" w:sz="0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具有由市级或以上相关检测部门出具的质量检验报告</w:t>
            </w:r>
          </w:p>
        </w:tc>
        <w:tc>
          <w:tcPr>
            <w:tcW w:w="63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原件备查</w:t>
            </w:r>
          </w:p>
        </w:tc>
        <w:tc>
          <w:tcPr>
            <w:tcW w:w="10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</w:tr>
      <w:tr w:rsidR="006E1427">
        <w:trPr>
          <w:trHeight w:val="413"/>
          <w:jc w:val="center"/>
        </w:trPr>
        <w:tc>
          <w:tcPr>
            <w:tcW w:w="571" w:type="dxa"/>
            <w:tcBorders>
              <w:top w:val="single" w:sz="0" w:space="0" w:color="auto"/>
              <w:left w:val="inset" w:sz="6" w:space="0" w:color="auto"/>
              <w:bottom w:val="single" w:sz="0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近三个月完税凭证和缴纳社会保障资金凭证</w:t>
            </w:r>
          </w:p>
        </w:tc>
        <w:tc>
          <w:tcPr>
            <w:tcW w:w="63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原件备查</w:t>
            </w:r>
          </w:p>
        </w:tc>
        <w:tc>
          <w:tcPr>
            <w:tcW w:w="10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6E1427">
        <w:trPr>
          <w:trHeight w:val="413"/>
          <w:jc w:val="center"/>
        </w:trPr>
        <w:tc>
          <w:tcPr>
            <w:tcW w:w="571" w:type="dxa"/>
            <w:tcBorders>
              <w:top w:val="single" w:sz="0" w:space="0" w:color="auto"/>
              <w:left w:val="inset" w:sz="6" w:space="0" w:color="auto"/>
              <w:bottom w:val="single" w:sz="0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上一年度资产负债表、损益表或注册会计师审计报告</w:t>
            </w:r>
          </w:p>
        </w:tc>
        <w:tc>
          <w:tcPr>
            <w:tcW w:w="63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原件备查</w:t>
            </w:r>
          </w:p>
        </w:tc>
        <w:tc>
          <w:tcPr>
            <w:tcW w:w="10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6E1427">
        <w:trPr>
          <w:trHeight w:val="413"/>
          <w:jc w:val="center"/>
        </w:trPr>
        <w:tc>
          <w:tcPr>
            <w:tcW w:w="571" w:type="dxa"/>
            <w:tcBorders>
              <w:top w:val="single" w:sz="0" w:space="0" w:color="auto"/>
              <w:left w:val="inset" w:sz="6" w:space="0" w:color="auto"/>
              <w:bottom w:val="single" w:sz="0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广州市白云区建筑业联合会品牌供应商入库申请表</w:t>
            </w:r>
          </w:p>
        </w:tc>
        <w:tc>
          <w:tcPr>
            <w:tcW w:w="63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原件</w:t>
            </w:r>
          </w:p>
        </w:tc>
        <w:tc>
          <w:tcPr>
            <w:tcW w:w="10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6E1427">
        <w:trPr>
          <w:trHeight w:val="413"/>
          <w:jc w:val="center"/>
        </w:trPr>
        <w:tc>
          <w:tcPr>
            <w:tcW w:w="571" w:type="dxa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899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sz w:val="18"/>
                <w:szCs w:val="18"/>
              </w:rPr>
            </w:pPr>
            <w:bookmarkStart w:id="0" w:name="_GoBack"/>
            <w:r>
              <w:rPr>
                <w:rFonts w:hint="eastAsia"/>
                <w:sz w:val="18"/>
                <w:szCs w:val="18"/>
              </w:rPr>
              <w:t>相关代理品牌的证明材料</w:t>
            </w:r>
            <w:bookmarkEnd w:id="0"/>
          </w:p>
        </w:tc>
        <w:tc>
          <w:tcPr>
            <w:tcW w:w="63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原件备查</w:t>
            </w:r>
          </w:p>
        </w:tc>
        <w:tc>
          <w:tcPr>
            <w:tcW w:w="10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6E1427" w:rsidRDefault="006E1427">
      <w:pPr>
        <w:widowControl/>
        <w:shd w:val="clear" w:color="auto" w:fill="FFFFFF"/>
        <w:jc w:val="left"/>
        <w:rPr>
          <w:rFonts w:ascii="宋体" w:hAnsi="宋体"/>
          <w:color w:val="333333"/>
          <w:szCs w:val="21"/>
        </w:rPr>
      </w:pPr>
    </w:p>
    <w:p w:rsidR="006E1427" w:rsidRDefault="00DF58B0">
      <w:pPr>
        <w:widowControl/>
        <w:jc w:val="left"/>
        <w:rPr>
          <w:rFonts w:ascii="宋体" w:hAnsi="宋体"/>
          <w:color w:val="333333"/>
          <w:kern w:val="0"/>
          <w:sz w:val="18"/>
          <w:szCs w:val="18"/>
          <w:shd w:val="clear" w:color="auto" w:fill="FFFFFF"/>
        </w:rPr>
      </w:pPr>
      <w:r>
        <w:rPr>
          <w:rFonts w:ascii="宋体" w:hAnsi="宋体" w:hint="eastAsia"/>
          <w:color w:val="333333"/>
          <w:kern w:val="0"/>
          <w:sz w:val="18"/>
          <w:szCs w:val="18"/>
          <w:shd w:val="clear" w:color="auto" w:fill="FFFFFF"/>
        </w:rPr>
        <w:t>注：</w:t>
      </w:r>
      <w:r>
        <w:rPr>
          <w:rFonts w:ascii="宋体" w:hAnsi="宋体" w:hint="eastAsia"/>
          <w:color w:val="333333"/>
          <w:kern w:val="0"/>
          <w:sz w:val="18"/>
          <w:szCs w:val="18"/>
          <w:shd w:val="clear" w:color="auto" w:fill="FFFFFF"/>
        </w:rPr>
        <w:t>1</w:t>
      </w:r>
      <w:r>
        <w:rPr>
          <w:rFonts w:ascii="宋体" w:hAnsi="宋体" w:hint="eastAsia"/>
          <w:color w:val="333333"/>
          <w:kern w:val="0"/>
          <w:sz w:val="18"/>
          <w:szCs w:val="18"/>
          <w:shd w:val="clear" w:color="auto" w:fill="FFFFFF"/>
        </w:rPr>
        <w:t>、本表附于资格审查资料首页，作为资格审查资料目录。</w:t>
      </w:r>
    </w:p>
    <w:p w:rsidR="006E1427" w:rsidRDefault="00DF58B0">
      <w:pPr>
        <w:widowControl/>
        <w:jc w:val="left"/>
        <w:rPr>
          <w:rFonts w:ascii="宋体" w:hAnsi="宋体"/>
          <w:color w:val="333333"/>
          <w:kern w:val="0"/>
          <w:sz w:val="18"/>
          <w:szCs w:val="18"/>
          <w:shd w:val="clear" w:color="auto" w:fill="FFFFFF"/>
        </w:rPr>
      </w:pPr>
      <w:r>
        <w:rPr>
          <w:rFonts w:ascii="宋体" w:hAnsi="宋体" w:hint="eastAsia"/>
          <w:color w:val="333333"/>
          <w:kern w:val="0"/>
          <w:sz w:val="18"/>
          <w:szCs w:val="18"/>
          <w:shd w:val="clear" w:color="auto" w:fill="FFFFFF"/>
        </w:rPr>
        <w:t>2</w:t>
      </w:r>
      <w:r>
        <w:rPr>
          <w:rFonts w:ascii="宋体" w:hAnsi="宋体" w:hint="eastAsia"/>
          <w:color w:val="333333"/>
          <w:kern w:val="0"/>
          <w:sz w:val="18"/>
          <w:szCs w:val="18"/>
          <w:shd w:val="clear" w:color="auto" w:fill="FFFFFF"/>
        </w:rPr>
        <w:t>、本表自查结论栏及备注栏，由入库申请单位如实填写。</w:t>
      </w:r>
    </w:p>
    <w:p w:rsidR="006E1427" w:rsidRDefault="00DF58B0">
      <w:pPr>
        <w:widowControl/>
        <w:jc w:val="left"/>
        <w:rPr>
          <w:rFonts w:ascii="宋体" w:hAnsi="宋体"/>
          <w:color w:val="333333"/>
          <w:kern w:val="0"/>
          <w:sz w:val="18"/>
          <w:szCs w:val="18"/>
          <w:shd w:val="clear" w:color="auto" w:fill="FFFFFF"/>
        </w:rPr>
      </w:pPr>
      <w:r>
        <w:rPr>
          <w:rFonts w:ascii="宋体" w:hAnsi="宋体" w:hint="eastAsia"/>
          <w:color w:val="333333"/>
          <w:kern w:val="0"/>
          <w:sz w:val="18"/>
          <w:szCs w:val="18"/>
          <w:shd w:val="clear" w:color="auto" w:fill="FFFFFF"/>
        </w:rPr>
        <w:t>3</w:t>
      </w:r>
      <w:r>
        <w:rPr>
          <w:rFonts w:ascii="宋体" w:hAnsi="宋体" w:hint="eastAsia"/>
          <w:color w:val="333333"/>
          <w:kern w:val="0"/>
          <w:sz w:val="18"/>
          <w:szCs w:val="18"/>
          <w:shd w:val="clear" w:color="auto" w:fill="FFFFFF"/>
        </w:rPr>
        <w:t>、本表要求提供的证明材料复印件投标时必须提供相对应原件核对，未能提供原件核对部分或原件不齐视作该项不符合要求。</w:t>
      </w:r>
    </w:p>
    <w:p w:rsidR="006E1427" w:rsidRDefault="00DF58B0">
      <w:pPr>
        <w:widowControl/>
        <w:jc w:val="left"/>
        <w:rPr>
          <w:rFonts w:ascii="宋体" w:hAnsi="宋体"/>
          <w:color w:val="333333"/>
          <w:kern w:val="0"/>
          <w:sz w:val="18"/>
          <w:szCs w:val="18"/>
          <w:shd w:val="clear" w:color="auto" w:fill="FFFFFF"/>
        </w:rPr>
      </w:pPr>
      <w:r>
        <w:rPr>
          <w:rFonts w:ascii="宋体" w:hAnsi="宋体" w:hint="eastAsia"/>
          <w:color w:val="333333"/>
          <w:kern w:val="0"/>
          <w:sz w:val="18"/>
          <w:szCs w:val="18"/>
          <w:shd w:val="clear" w:color="auto" w:fill="FFFFFF"/>
        </w:rPr>
        <w:t>4</w:t>
      </w:r>
      <w:r>
        <w:rPr>
          <w:rFonts w:ascii="宋体" w:hAnsi="宋体" w:hint="eastAsia"/>
          <w:color w:val="333333"/>
          <w:kern w:val="0"/>
          <w:sz w:val="18"/>
          <w:szCs w:val="18"/>
          <w:shd w:val="clear" w:color="auto" w:fill="FFFFFF"/>
        </w:rPr>
        <w:t>、资格预审申请文件需按照上述顺序装订。</w:t>
      </w:r>
    </w:p>
    <w:p w:rsidR="006E1427" w:rsidRDefault="00DF58B0">
      <w:pPr>
        <w:widowControl/>
        <w:jc w:val="left"/>
        <w:rPr>
          <w:rStyle w:val="15"/>
          <w:rFonts w:ascii="宋体" w:hAnsi="宋体"/>
          <w:b w:val="0"/>
          <w:bCs w:val="0"/>
          <w:color w:val="333333"/>
          <w:kern w:val="0"/>
          <w:sz w:val="18"/>
          <w:szCs w:val="18"/>
          <w:shd w:val="clear" w:color="auto" w:fill="FFFFFF"/>
        </w:rPr>
      </w:pPr>
      <w:r>
        <w:rPr>
          <w:rFonts w:ascii="宋体" w:hAnsi="宋体" w:hint="eastAsia"/>
          <w:color w:val="333333"/>
          <w:kern w:val="0"/>
          <w:sz w:val="18"/>
          <w:szCs w:val="18"/>
          <w:shd w:val="clear" w:color="auto" w:fill="FFFFFF"/>
        </w:rPr>
        <w:t>5</w:t>
      </w:r>
      <w:r>
        <w:rPr>
          <w:rFonts w:ascii="宋体" w:hAnsi="宋体" w:hint="eastAsia"/>
          <w:color w:val="333333"/>
          <w:kern w:val="0"/>
          <w:sz w:val="18"/>
          <w:szCs w:val="18"/>
          <w:shd w:val="clear" w:color="auto" w:fill="FFFFFF"/>
        </w:rPr>
        <w:t>、</w:t>
      </w:r>
      <w:r>
        <w:rPr>
          <w:rFonts w:ascii="宋体" w:hAnsi="宋体" w:hint="eastAsia"/>
          <w:color w:val="333333"/>
          <w:kern w:val="0"/>
          <w:shd w:val="clear" w:color="auto" w:fill="FFFFFF"/>
        </w:rPr>
        <w:t>投标人所提供的证明文件必须在有效期内。</w:t>
      </w:r>
      <w:r>
        <w:rPr>
          <w:rFonts w:ascii="宋体" w:hAnsi="宋体" w:hint="eastAsia"/>
          <w:color w:val="333333"/>
          <w:kern w:val="0"/>
          <w:shd w:val="clear" w:color="auto" w:fill="FFFFFF"/>
        </w:rPr>
        <w:br/>
      </w:r>
      <w:r>
        <w:rPr>
          <w:rFonts w:ascii="宋体" w:hAnsi="宋体" w:hint="eastAsia"/>
          <w:color w:val="333333"/>
          <w:kern w:val="0"/>
          <w:shd w:val="clear" w:color="auto" w:fill="FFFFFF"/>
        </w:rPr>
        <w:br/>
      </w:r>
      <w:r>
        <w:rPr>
          <w:rStyle w:val="15"/>
          <w:rFonts w:ascii="宋体" w:hAnsi="宋体" w:hint="eastAsia"/>
          <w:color w:val="333333"/>
          <w:kern w:val="0"/>
          <w:shd w:val="clear" w:color="auto" w:fill="FFFFFF"/>
        </w:rPr>
        <w:t>原件审核情况</w:t>
      </w:r>
      <w:r>
        <w:rPr>
          <w:rFonts w:ascii="宋体" w:hAnsi="宋体" w:hint="eastAsia"/>
          <w:color w:val="333333"/>
          <w:kern w:val="0"/>
          <w:shd w:val="clear" w:color="auto" w:fill="FFFFFF"/>
        </w:rPr>
        <w:br/>
      </w:r>
      <w:r>
        <w:rPr>
          <w:rStyle w:val="15"/>
          <w:rFonts w:ascii="宋体" w:hAnsi="宋体" w:hint="eastAsia"/>
          <w:color w:val="333333"/>
          <w:kern w:val="0"/>
          <w:shd w:val="clear" w:color="auto" w:fill="FFFFFF"/>
        </w:rPr>
        <w:t>入库申请单位对资审资料先自行核对，并承诺自查审核情况属实。</w:t>
      </w:r>
      <w:r>
        <w:rPr>
          <w:rFonts w:ascii="宋体" w:hAnsi="宋体" w:hint="eastAsia"/>
          <w:color w:val="333333"/>
          <w:kern w:val="0"/>
          <w:shd w:val="clear" w:color="auto" w:fill="FFFFFF"/>
        </w:rPr>
        <w:br/>
      </w:r>
      <w:r>
        <w:rPr>
          <w:rStyle w:val="15"/>
          <w:rFonts w:ascii="宋体" w:hAnsi="宋体" w:hint="eastAsia"/>
          <w:color w:val="333333"/>
          <w:kern w:val="0"/>
          <w:shd w:val="clear" w:color="auto" w:fill="FFFFFF"/>
        </w:rPr>
        <w:t>入库申请单位（盖章）：</w:t>
      </w:r>
      <w:r>
        <w:rPr>
          <w:rFonts w:ascii="宋体" w:hAnsi="宋体" w:hint="eastAsia"/>
          <w:color w:val="333333"/>
          <w:kern w:val="0"/>
          <w:shd w:val="clear" w:color="auto" w:fill="FFFFFF"/>
        </w:rPr>
        <w:br/>
      </w:r>
      <w:r>
        <w:rPr>
          <w:rStyle w:val="15"/>
          <w:rFonts w:ascii="宋体" w:hAnsi="宋体" w:hint="eastAsia"/>
          <w:color w:val="333333"/>
          <w:kern w:val="0"/>
          <w:shd w:val="clear" w:color="auto" w:fill="FFFFFF"/>
        </w:rPr>
        <w:t>入库申请人代表名：</w:t>
      </w:r>
      <w:r>
        <w:rPr>
          <w:rStyle w:val="15"/>
          <w:rFonts w:ascii="宋体" w:hAnsi="宋体" w:hint="eastAsia"/>
          <w:color w:val="333333"/>
          <w:kern w:val="0"/>
          <w:shd w:val="clear" w:color="auto" w:fill="FFFFFF"/>
        </w:rPr>
        <w:t xml:space="preserve">                              </w:t>
      </w:r>
      <w:r>
        <w:rPr>
          <w:rFonts w:ascii="宋体" w:hAnsi="宋体" w:hint="eastAsia"/>
          <w:color w:val="333333"/>
          <w:kern w:val="0"/>
          <w:shd w:val="clear" w:color="auto" w:fill="FFFFFF"/>
        </w:rPr>
        <w:br/>
      </w:r>
    </w:p>
    <w:p w:rsidR="006E1427" w:rsidRDefault="00DF58B0">
      <w:pPr>
        <w:widowControl/>
        <w:jc w:val="right"/>
      </w:pPr>
      <w:r>
        <w:rPr>
          <w:rStyle w:val="15"/>
          <w:rFonts w:ascii="宋体" w:hAnsi="宋体" w:hint="eastAsia"/>
          <w:color w:val="333333"/>
          <w:kern w:val="0"/>
          <w:shd w:val="clear" w:color="auto" w:fill="FFFFFF"/>
        </w:rPr>
        <w:t>2019</w:t>
      </w:r>
      <w:r>
        <w:rPr>
          <w:rStyle w:val="15"/>
          <w:rFonts w:ascii="宋体" w:hAnsi="宋体" w:hint="eastAsia"/>
          <w:color w:val="333333"/>
          <w:kern w:val="0"/>
          <w:shd w:val="clear" w:color="auto" w:fill="FFFFFF"/>
        </w:rPr>
        <w:t>年</w:t>
      </w:r>
      <w:r>
        <w:rPr>
          <w:rStyle w:val="15"/>
          <w:rFonts w:ascii="宋体" w:hAnsi="宋体" w:hint="eastAsia"/>
          <w:color w:val="333333"/>
          <w:kern w:val="0"/>
          <w:shd w:val="clear" w:color="auto" w:fill="FFFFFF"/>
        </w:rPr>
        <w:t xml:space="preserve">  </w:t>
      </w:r>
      <w:r>
        <w:rPr>
          <w:rStyle w:val="15"/>
          <w:rFonts w:ascii="宋体" w:hAnsi="宋体" w:hint="eastAsia"/>
          <w:color w:val="333333"/>
          <w:kern w:val="0"/>
          <w:shd w:val="clear" w:color="auto" w:fill="FFFFFF"/>
        </w:rPr>
        <w:t>月</w:t>
      </w:r>
      <w:r>
        <w:rPr>
          <w:rStyle w:val="15"/>
          <w:rFonts w:ascii="宋体" w:hAnsi="宋体" w:hint="eastAsia"/>
          <w:color w:val="333333"/>
          <w:kern w:val="0"/>
          <w:shd w:val="clear" w:color="auto" w:fill="FFFFFF"/>
        </w:rPr>
        <w:t xml:space="preserve">  </w:t>
      </w:r>
      <w:r>
        <w:rPr>
          <w:rStyle w:val="15"/>
          <w:rFonts w:ascii="宋体" w:hAnsi="宋体" w:hint="eastAsia"/>
          <w:color w:val="333333"/>
          <w:kern w:val="0"/>
          <w:shd w:val="clear" w:color="auto" w:fill="FFFFFF"/>
        </w:rPr>
        <w:t>日</w:t>
      </w: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DF58B0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  <w:r>
        <w:rPr>
          <w:rFonts w:ascii="宋体" w:hAnsi="宋体" w:hint="eastAsia"/>
          <w:color w:val="333333"/>
          <w:kern w:val="0"/>
          <w:shd w:val="clear" w:color="auto" w:fill="FFFFFF"/>
        </w:rPr>
        <w:t>附件五</w:t>
      </w:r>
      <w:r>
        <w:rPr>
          <w:rFonts w:ascii="宋体" w:hAnsi="宋体" w:hint="eastAsia"/>
          <w:color w:val="333333"/>
          <w:kern w:val="0"/>
          <w:shd w:val="clear" w:color="auto" w:fill="FFFFFF"/>
        </w:rPr>
        <w:t>.1</w:t>
      </w:r>
    </w:p>
    <w:p w:rsidR="006E1427" w:rsidRDefault="00DF58B0">
      <w:pPr>
        <w:widowControl/>
        <w:jc w:val="center"/>
      </w:pPr>
      <w:r>
        <w:rPr>
          <w:rStyle w:val="15"/>
          <w:rFonts w:ascii="宋体" w:hAnsi="宋体" w:hint="eastAsia"/>
          <w:color w:val="333333"/>
          <w:kern w:val="0"/>
          <w:shd w:val="clear" w:color="auto" w:fill="FFFFFF"/>
        </w:rPr>
        <w:t>入库申请品牌择优评分标准</w:t>
      </w:r>
    </w:p>
    <w:tbl>
      <w:tblPr>
        <w:tblW w:w="10259" w:type="dxa"/>
        <w:jc w:val="center"/>
        <w:tblInd w:w="-2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1020"/>
        <w:gridCol w:w="7393"/>
        <w:gridCol w:w="1202"/>
      </w:tblGrid>
      <w:tr w:rsidR="006E1427">
        <w:trPr>
          <w:trHeight w:val="450"/>
          <w:jc w:val="center"/>
        </w:trPr>
        <w:tc>
          <w:tcPr>
            <w:tcW w:w="6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分项内容</w:t>
            </w:r>
          </w:p>
        </w:tc>
        <w:tc>
          <w:tcPr>
            <w:tcW w:w="739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评分说明</w:t>
            </w:r>
          </w:p>
        </w:tc>
        <w:tc>
          <w:tcPr>
            <w:tcW w:w="120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6E1427">
        <w:trPr>
          <w:trHeight w:val="705"/>
          <w:jc w:val="center"/>
        </w:trPr>
        <w:tc>
          <w:tcPr>
            <w:tcW w:w="644" w:type="dxa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销量</w:t>
            </w:r>
          </w:p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739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通过资格审查的材料品牌，提供近两年（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年、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年）该品牌的总销量证明材料，由高至低排序，第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1-5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名得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分；第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5-10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名得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分；第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10-15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名得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分，第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名及之后得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分。（含利润表和相关审计单位营业执照和审计人员证书等关键页复印件、若排名相同则名次并列，占用名次，如得第一名的投标人有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N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个，则该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N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个投标人并列第一名，下一名按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N+1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计算，以此类推。），</w:t>
            </w:r>
          </w:p>
        </w:tc>
        <w:tc>
          <w:tcPr>
            <w:tcW w:w="1202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（原件备查）</w:t>
            </w:r>
          </w:p>
        </w:tc>
      </w:tr>
      <w:tr w:rsidR="006E1427">
        <w:trPr>
          <w:trHeight w:val="705"/>
          <w:jc w:val="center"/>
        </w:trPr>
        <w:tc>
          <w:tcPr>
            <w:tcW w:w="644" w:type="dxa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纳税</w:t>
            </w:r>
          </w:p>
          <w:p w:rsidR="006E1427" w:rsidRDefault="00DF58B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739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通过资格审查的材料品牌，提供近两年（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年、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年）的纳税证明材料，由高至低排序，第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1-5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名得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分；第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5-10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名得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分；第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10-15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名得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分，第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名及之后得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分。（含利润表和相关审计单位营业执照和审计人员证书等关键页复印件、若排名相同则名次并列，占用名次，如得第一名的投标人有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N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个，则该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N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个投标人并列第一名，下一名按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N+1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计算，以此类推。）</w:t>
            </w:r>
          </w:p>
        </w:tc>
        <w:tc>
          <w:tcPr>
            <w:tcW w:w="1202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（原件备查）</w:t>
            </w:r>
          </w:p>
        </w:tc>
      </w:tr>
      <w:tr w:rsidR="006E1427">
        <w:trPr>
          <w:trHeight w:val="705"/>
          <w:jc w:val="center"/>
        </w:trPr>
        <w:tc>
          <w:tcPr>
            <w:tcW w:w="644" w:type="dxa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获奖情况</w:t>
            </w:r>
          </w:p>
          <w:p w:rsidR="006E1427" w:rsidRDefault="00DF58B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739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投标人自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日至今获得的奖项，国家级奖项证书的，每一项得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分；省级奖项证书的，每一项得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分；市级奖项证书的，每一项得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分；本项获奖评分累计最高得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分。</w:t>
            </w:r>
          </w:p>
          <w:p w:rsidR="006E1427" w:rsidRDefault="00DF58B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注：奖项是指国家级、省级、市级行业协会或国家级、省级、市级行政主管部门颁发的奖项。</w:t>
            </w:r>
          </w:p>
        </w:tc>
        <w:tc>
          <w:tcPr>
            <w:tcW w:w="1202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（原件备查）</w:t>
            </w:r>
          </w:p>
        </w:tc>
      </w:tr>
      <w:tr w:rsidR="006E1427">
        <w:trPr>
          <w:trHeight w:val="660"/>
          <w:jc w:val="center"/>
        </w:trPr>
        <w:tc>
          <w:tcPr>
            <w:tcW w:w="6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生产地点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739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在广东省内设有固定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生产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地点得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分，在广州地区（白云区除外）设有固定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生产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地点得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分，在广州市白云区设有固定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生产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地点得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分。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注：如为企业自有，则应提供购置发票、房产证（性质为非居住用途）；如为租赁，则应提供有效租赁合同。</w:t>
            </w:r>
          </w:p>
        </w:tc>
        <w:tc>
          <w:tcPr>
            <w:tcW w:w="120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（原件备查）</w:t>
            </w:r>
          </w:p>
        </w:tc>
      </w:tr>
      <w:tr w:rsidR="006E1427">
        <w:trPr>
          <w:trHeight w:val="345"/>
          <w:jc w:val="center"/>
        </w:trPr>
        <w:tc>
          <w:tcPr>
            <w:tcW w:w="6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品牌情况介绍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(20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739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经专家评委评定后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优，得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20-16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良，得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15-10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分：中，得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10-5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差，得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5-0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。</w:t>
            </w:r>
            <w:r>
              <w:rPr>
                <w:rStyle w:val="15"/>
                <w:rFonts w:ascii="宋体" w:hAnsi="宋体" w:hint="eastAsia"/>
                <w:kern w:val="0"/>
                <w:sz w:val="18"/>
                <w:szCs w:val="18"/>
              </w:rPr>
              <w:t>（服务类的为服务质量、服务措施、拟投入的设备和人员的配备）</w:t>
            </w:r>
          </w:p>
        </w:tc>
        <w:tc>
          <w:tcPr>
            <w:tcW w:w="120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原件</w:t>
            </w:r>
          </w:p>
        </w:tc>
      </w:tr>
      <w:tr w:rsidR="006E1427">
        <w:trPr>
          <w:trHeight w:val="345"/>
          <w:jc w:val="center"/>
        </w:trPr>
        <w:tc>
          <w:tcPr>
            <w:tcW w:w="6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102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739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6E1427" w:rsidRDefault="006E1427">
      <w:pPr>
        <w:widowControl/>
        <w:shd w:val="clear" w:color="auto" w:fill="FFFFFF"/>
        <w:jc w:val="left"/>
        <w:rPr>
          <w:rFonts w:ascii="宋体" w:hAnsi="宋体"/>
          <w:color w:val="333333"/>
          <w:sz w:val="18"/>
          <w:szCs w:val="18"/>
        </w:rPr>
      </w:pPr>
    </w:p>
    <w:p w:rsidR="006E1427" w:rsidRDefault="00DF58B0">
      <w:pPr>
        <w:widowControl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color w:val="333333"/>
          <w:kern w:val="0"/>
          <w:sz w:val="18"/>
          <w:szCs w:val="18"/>
          <w:shd w:val="clear" w:color="auto" w:fill="FFFFFF"/>
        </w:rPr>
        <w:t>注：（</w:t>
      </w:r>
      <w:r>
        <w:rPr>
          <w:rFonts w:ascii="宋体" w:hAnsi="宋体" w:hint="eastAsia"/>
          <w:color w:val="333333"/>
          <w:kern w:val="0"/>
          <w:sz w:val="18"/>
          <w:szCs w:val="18"/>
          <w:shd w:val="clear" w:color="auto" w:fill="FFFFFF"/>
        </w:rPr>
        <w:t>1</w:t>
      </w:r>
      <w:r>
        <w:rPr>
          <w:rFonts w:ascii="宋体" w:hAnsi="宋体" w:hint="eastAsia"/>
          <w:color w:val="333333"/>
          <w:kern w:val="0"/>
          <w:sz w:val="18"/>
          <w:szCs w:val="18"/>
          <w:shd w:val="clear" w:color="auto" w:fill="FFFFFF"/>
        </w:rPr>
        <w:t>）择优评分部分需原件备查资料，评标时入库申请人未能提供相应部分资料原件，所对应部分不得分。</w:t>
      </w:r>
      <w:r>
        <w:rPr>
          <w:rFonts w:ascii="宋体" w:hAnsi="宋体" w:hint="eastAsia"/>
          <w:color w:val="333333"/>
          <w:sz w:val="18"/>
          <w:szCs w:val="18"/>
          <w:shd w:val="clear" w:color="auto" w:fill="FFFFFF"/>
        </w:rPr>
        <w:t>择优得分为各评委评分的算术平均分，所有计算取小数点后两位，第三位四舍五入。</w:t>
      </w: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DF58B0">
      <w:pPr>
        <w:widowControl/>
        <w:jc w:val="left"/>
        <w:rPr>
          <w:rStyle w:val="15"/>
          <w:rFonts w:ascii="宋体" w:hAnsi="宋体"/>
          <w:b w:val="0"/>
          <w:bCs w:val="0"/>
          <w:color w:val="333333"/>
          <w:kern w:val="0"/>
          <w:shd w:val="clear" w:color="auto" w:fill="FFFFFF"/>
        </w:rPr>
      </w:pPr>
      <w:r>
        <w:rPr>
          <w:rFonts w:ascii="宋体" w:hAnsi="宋体" w:hint="eastAsia"/>
          <w:color w:val="333333"/>
          <w:kern w:val="0"/>
          <w:shd w:val="clear" w:color="auto" w:fill="FFFFFF"/>
        </w:rPr>
        <w:lastRenderedPageBreak/>
        <w:t>附件五</w:t>
      </w:r>
      <w:r>
        <w:rPr>
          <w:rFonts w:ascii="宋体" w:hAnsi="宋体" w:hint="eastAsia"/>
          <w:color w:val="333333"/>
          <w:kern w:val="0"/>
          <w:shd w:val="clear" w:color="auto" w:fill="FFFFFF"/>
        </w:rPr>
        <w:t>.2</w:t>
      </w:r>
    </w:p>
    <w:p w:rsidR="006E1427" w:rsidRDefault="00DF58B0">
      <w:pPr>
        <w:widowControl/>
        <w:jc w:val="center"/>
      </w:pPr>
      <w:r>
        <w:rPr>
          <w:rStyle w:val="15"/>
          <w:rFonts w:ascii="宋体" w:hAnsi="宋体" w:hint="eastAsia"/>
          <w:color w:val="333333"/>
          <w:kern w:val="0"/>
          <w:shd w:val="clear" w:color="auto" w:fill="FFFFFF"/>
        </w:rPr>
        <w:t>入库申请供应商择优评分标准</w:t>
      </w:r>
    </w:p>
    <w:tbl>
      <w:tblPr>
        <w:tblW w:w="9588" w:type="dxa"/>
        <w:jc w:val="center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8"/>
        <w:gridCol w:w="1020"/>
        <w:gridCol w:w="7013"/>
        <w:gridCol w:w="1167"/>
      </w:tblGrid>
      <w:tr w:rsidR="006E1427">
        <w:trPr>
          <w:trHeight w:val="450"/>
          <w:jc w:val="center"/>
        </w:trPr>
        <w:tc>
          <w:tcPr>
            <w:tcW w:w="3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分项内容</w:t>
            </w:r>
          </w:p>
        </w:tc>
        <w:tc>
          <w:tcPr>
            <w:tcW w:w="701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评分说明</w:t>
            </w:r>
          </w:p>
        </w:tc>
        <w:tc>
          <w:tcPr>
            <w:tcW w:w="11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6E1427">
        <w:trPr>
          <w:trHeight w:val="705"/>
          <w:jc w:val="center"/>
        </w:trPr>
        <w:tc>
          <w:tcPr>
            <w:tcW w:w="388" w:type="dxa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销量</w:t>
            </w:r>
          </w:p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701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通过资格审查的材料品牌供应商提供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自身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近两年（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年、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年）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对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该品牌的总销量证明材料，由高至低排序，第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1-5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名得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分；第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5-10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名得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分；第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10-15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名得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分，第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名及之后得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分。（若排名相同则名次并列，占用名次，如得第一名的投标人有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N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个，则该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N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个投标人并列第一名，下一名按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N+1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计算，以此类推。），</w:t>
            </w:r>
          </w:p>
        </w:tc>
        <w:tc>
          <w:tcPr>
            <w:tcW w:w="1167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（原件备查）</w:t>
            </w:r>
          </w:p>
        </w:tc>
      </w:tr>
      <w:tr w:rsidR="006E1427">
        <w:trPr>
          <w:trHeight w:val="705"/>
          <w:jc w:val="center"/>
        </w:trPr>
        <w:tc>
          <w:tcPr>
            <w:tcW w:w="388" w:type="dxa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纳税</w:t>
            </w:r>
          </w:p>
          <w:p w:rsidR="006E1427" w:rsidRDefault="00DF58B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701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通过资格审查的材料品牌供应商提供近两年（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年、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年）的纳税证明材料，由高至低排序，第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1-5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名得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分；第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5-10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名得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分；第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10-15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名得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分，第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名及之后得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分。（若排名相同则名次并列，占用名次，如得第一名的投标人有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N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个，则该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N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个投标人并列第一名，下一名按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N+1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计算，以此类推。）</w:t>
            </w:r>
          </w:p>
        </w:tc>
        <w:tc>
          <w:tcPr>
            <w:tcW w:w="1167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（原件备查）</w:t>
            </w:r>
          </w:p>
        </w:tc>
      </w:tr>
      <w:tr w:rsidR="006E1427">
        <w:trPr>
          <w:trHeight w:val="615"/>
          <w:jc w:val="center"/>
        </w:trPr>
        <w:tc>
          <w:tcPr>
            <w:tcW w:w="388" w:type="dxa"/>
            <w:vMerge w:val="restart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20" w:type="dxa"/>
            <w:vMerge w:val="restart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资信证明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701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通过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ISO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认证体系认证得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分；无得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1167" w:type="dxa"/>
            <w:vMerge w:val="restart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（原件备查）</w:t>
            </w:r>
          </w:p>
        </w:tc>
      </w:tr>
      <w:tr w:rsidR="006E1427">
        <w:trPr>
          <w:trHeight w:val="615"/>
          <w:jc w:val="center"/>
        </w:trPr>
        <w:tc>
          <w:tcPr>
            <w:tcW w:w="388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年内被市级及以上工商管理部门评为“重合同守信用”单位的，每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年得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分，最多得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  <w:tc>
          <w:tcPr>
            <w:tcW w:w="1167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6E142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6E1427">
        <w:trPr>
          <w:trHeight w:val="660"/>
          <w:jc w:val="center"/>
        </w:trPr>
        <w:tc>
          <w:tcPr>
            <w:tcW w:w="3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办公地点设置（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701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在广东省内设有固定办公地点得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分，在广州地区（白云区除外）设有固定办公地点得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分，在广州市白云区设有固定办公地点得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分。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注：如为企业自有，则应提供购置发票、房产证（性质为非居住用途）；如为租赁，则应提供有效租赁合同。</w:t>
            </w:r>
          </w:p>
        </w:tc>
        <w:tc>
          <w:tcPr>
            <w:tcW w:w="11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（原件备查）</w:t>
            </w:r>
          </w:p>
        </w:tc>
      </w:tr>
      <w:tr w:rsidR="006E1427">
        <w:trPr>
          <w:trHeight w:val="345"/>
          <w:jc w:val="center"/>
        </w:trPr>
        <w:tc>
          <w:tcPr>
            <w:tcW w:w="3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服务方案和服务承诺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(20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701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经专家评委评定后：优，得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20-16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分；良，得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15-10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分：中，得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10-5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分；差，得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5-0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分。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br/>
            </w:r>
            <w:r>
              <w:rPr>
                <w:rStyle w:val="15"/>
                <w:rFonts w:ascii="宋体" w:hAnsi="宋体" w:hint="eastAsia"/>
                <w:kern w:val="0"/>
                <w:sz w:val="18"/>
                <w:szCs w:val="18"/>
              </w:rPr>
              <w:t>（服务类的为服务质量、服务措施、拟投入的设备和人员的配备）</w:t>
            </w:r>
          </w:p>
        </w:tc>
        <w:tc>
          <w:tcPr>
            <w:tcW w:w="11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原件</w:t>
            </w:r>
          </w:p>
        </w:tc>
      </w:tr>
      <w:tr w:rsidR="006E1427">
        <w:trPr>
          <w:trHeight w:val="345"/>
          <w:jc w:val="center"/>
        </w:trPr>
        <w:tc>
          <w:tcPr>
            <w:tcW w:w="3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102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701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6E1427" w:rsidRDefault="00DF58B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6E1427" w:rsidRDefault="006E1427">
      <w:pPr>
        <w:widowControl/>
        <w:shd w:val="clear" w:color="auto" w:fill="FFFFFF"/>
        <w:jc w:val="left"/>
        <w:rPr>
          <w:rFonts w:ascii="宋体" w:hAnsi="宋体"/>
          <w:color w:val="333333"/>
          <w:sz w:val="18"/>
          <w:szCs w:val="18"/>
        </w:rPr>
      </w:pPr>
    </w:p>
    <w:p w:rsidR="006E1427" w:rsidRDefault="00DF58B0">
      <w:pPr>
        <w:widowControl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color w:val="333333"/>
          <w:kern w:val="0"/>
          <w:sz w:val="18"/>
          <w:szCs w:val="18"/>
          <w:shd w:val="clear" w:color="auto" w:fill="FFFFFF"/>
        </w:rPr>
        <w:t>注：（</w:t>
      </w:r>
      <w:r>
        <w:rPr>
          <w:rFonts w:ascii="宋体" w:hAnsi="宋体" w:hint="eastAsia"/>
          <w:color w:val="333333"/>
          <w:kern w:val="0"/>
          <w:sz w:val="18"/>
          <w:szCs w:val="18"/>
          <w:shd w:val="clear" w:color="auto" w:fill="FFFFFF"/>
        </w:rPr>
        <w:t>1</w:t>
      </w:r>
      <w:r>
        <w:rPr>
          <w:rFonts w:ascii="宋体" w:hAnsi="宋体" w:hint="eastAsia"/>
          <w:color w:val="333333"/>
          <w:kern w:val="0"/>
          <w:sz w:val="18"/>
          <w:szCs w:val="18"/>
          <w:shd w:val="clear" w:color="auto" w:fill="FFFFFF"/>
        </w:rPr>
        <w:t>）择优评分部分需原件备查资料，评标时入库申请人未能提供相应部分资料原件，所对应部分不得分。</w:t>
      </w:r>
      <w:r>
        <w:rPr>
          <w:rFonts w:ascii="宋体" w:hAnsi="宋体" w:hint="eastAsia"/>
          <w:color w:val="333333"/>
          <w:sz w:val="18"/>
          <w:szCs w:val="18"/>
          <w:shd w:val="clear" w:color="auto" w:fill="FFFFFF"/>
        </w:rPr>
        <w:t>择优得分为各评委评分的算术平均分，所有计算取小数点后两位，第三位四舍五入。</w:t>
      </w:r>
    </w:p>
    <w:p w:rsidR="006E1427" w:rsidRDefault="006E1427"/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6E1427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</w:p>
    <w:p w:rsidR="006E1427" w:rsidRDefault="00DF58B0">
      <w:pPr>
        <w:widowControl/>
        <w:jc w:val="left"/>
        <w:rPr>
          <w:rFonts w:ascii="宋体" w:hAnsi="宋体"/>
          <w:color w:val="333333"/>
          <w:kern w:val="0"/>
          <w:shd w:val="clear" w:color="auto" w:fill="FFFFFF"/>
        </w:rPr>
      </w:pPr>
      <w:r>
        <w:rPr>
          <w:rFonts w:ascii="宋体" w:hAnsi="宋体" w:hint="eastAsia"/>
          <w:color w:val="333333"/>
          <w:kern w:val="0"/>
          <w:shd w:val="clear" w:color="auto" w:fill="FFFFFF"/>
        </w:rPr>
        <w:lastRenderedPageBreak/>
        <w:t>附件六</w:t>
      </w:r>
    </w:p>
    <w:p w:rsidR="006E1427" w:rsidRDefault="00DF58B0">
      <w:pPr>
        <w:widowControl/>
        <w:jc w:val="center"/>
        <w:rPr>
          <w:rFonts w:ascii="宋体" w:hAnsi="宋体"/>
          <w:b/>
          <w:color w:val="333333"/>
          <w:kern w:val="0"/>
          <w:shd w:val="clear" w:color="auto" w:fill="FFFFFF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入库申请人</w:t>
      </w:r>
      <w:r>
        <w:rPr>
          <w:rFonts w:ascii="仿宋_GB2312" w:eastAsia="仿宋_GB2312" w:hint="eastAsia"/>
          <w:b/>
          <w:sz w:val="28"/>
          <w:szCs w:val="28"/>
        </w:rPr>
        <w:t>声明</w:t>
      </w:r>
    </w:p>
    <w:p w:rsidR="006E1427" w:rsidRDefault="00DF58B0">
      <w:pPr>
        <w:pStyle w:val="a6"/>
        <w:ind w:firstLine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广州市白云区建筑业联合会：</w:t>
      </w:r>
    </w:p>
    <w:p w:rsidR="006E1427" w:rsidRDefault="00DF58B0">
      <w:pPr>
        <w:pStyle w:val="a6"/>
        <w:ind w:firstLineChars="200"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本公司就参加广州市白云区建筑业联合会征集</w:t>
      </w:r>
      <w:r w:rsidR="00AF1CAD">
        <w:rPr>
          <w:rFonts w:hint="eastAsia"/>
          <w:color w:val="auto"/>
          <w:sz w:val="24"/>
          <w:szCs w:val="24"/>
        </w:rPr>
        <w:t>品牌</w:t>
      </w:r>
      <w:r>
        <w:rPr>
          <w:rFonts w:hint="eastAsia"/>
          <w:color w:val="auto"/>
          <w:sz w:val="24"/>
          <w:szCs w:val="24"/>
        </w:rPr>
        <w:t>供应商入库作出郑重声明和承诺：</w:t>
      </w:r>
    </w:p>
    <w:p w:rsidR="006E1427" w:rsidRDefault="00DF58B0">
      <w:pPr>
        <w:pStyle w:val="a6"/>
        <w:rPr>
          <w:color w:val="auto"/>
          <w:sz w:val="24"/>
          <w:szCs w:val="24"/>
        </w:rPr>
      </w:pPr>
      <w:r>
        <w:rPr>
          <w:rFonts w:hAnsi="宋体" w:hint="eastAsia"/>
          <w:color w:val="auto"/>
          <w:sz w:val="24"/>
          <w:szCs w:val="24"/>
        </w:rPr>
        <w:t>一、本公司自愿参加（填写参加的材料品牌库名称），保证本次入库报名材料及其后参加</w:t>
      </w:r>
      <w:r>
        <w:rPr>
          <w:rFonts w:hint="eastAsia"/>
          <w:color w:val="auto"/>
          <w:sz w:val="24"/>
          <w:szCs w:val="24"/>
        </w:rPr>
        <w:t>建设工程交易</w:t>
      </w:r>
      <w:r>
        <w:rPr>
          <w:rFonts w:hAnsi="宋体" w:hint="eastAsia"/>
          <w:color w:val="auto"/>
          <w:sz w:val="24"/>
          <w:szCs w:val="24"/>
        </w:rPr>
        <w:t>提供的一切材料都是真实的。</w:t>
      </w:r>
    </w:p>
    <w:p w:rsidR="006E1427" w:rsidRDefault="00DF58B0">
      <w:pPr>
        <w:pStyle w:val="a6"/>
        <w:rPr>
          <w:color w:val="auto"/>
          <w:sz w:val="24"/>
          <w:szCs w:val="24"/>
        </w:rPr>
      </w:pPr>
      <w:r>
        <w:rPr>
          <w:rFonts w:hAnsi="宋体" w:hint="eastAsia"/>
          <w:color w:val="auto"/>
          <w:sz w:val="24"/>
          <w:szCs w:val="24"/>
        </w:rPr>
        <w:t>二、本公司保证在本项目交易中不与其他单位合谋，不出让交易资格，不向建库单位、资格审查委员会、项目建设单位、项目监管机构及其成员行贿。</w:t>
      </w:r>
    </w:p>
    <w:p w:rsidR="006E1427" w:rsidRDefault="00DF58B0">
      <w:pPr>
        <w:pStyle w:val="a6"/>
        <w:rPr>
          <w:color w:val="auto"/>
          <w:sz w:val="24"/>
          <w:szCs w:val="24"/>
        </w:rPr>
      </w:pPr>
      <w:r>
        <w:rPr>
          <w:rFonts w:hAnsi="宋体" w:hint="eastAsia"/>
          <w:color w:val="auto"/>
          <w:sz w:val="24"/>
          <w:szCs w:val="24"/>
        </w:rPr>
        <w:t>三、本公司没有处于被责令停业的状态；没有处于被行政主管部门取消投标资格的处罚期内；没有处于财产被接管、冻结、破产的状态；在交易报名截止日期前三年内本公司没有弄虚作假骗取中标、围标串标行为；</w:t>
      </w:r>
      <w:r>
        <w:rPr>
          <w:rFonts w:hAnsi="宋体" w:cs="宋体" w:hint="eastAsia"/>
          <w:color w:val="auto"/>
          <w:sz w:val="24"/>
          <w:szCs w:val="24"/>
        </w:rPr>
        <w:t>近三年无不良记录和法律、法规、规章禁止的其他情形</w:t>
      </w:r>
      <w:r>
        <w:rPr>
          <w:rFonts w:hAnsi="宋体" w:hint="eastAsia"/>
          <w:color w:val="auto"/>
          <w:sz w:val="24"/>
          <w:szCs w:val="24"/>
        </w:rPr>
        <w:t>。</w:t>
      </w:r>
    </w:p>
    <w:p w:rsidR="006E1427" w:rsidRDefault="00DF58B0">
      <w:pPr>
        <w:pStyle w:val="a6"/>
        <w:rPr>
          <w:rFonts w:hAnsi="宋体"/>
          <w:color w:val="auto"/>
          <w:sz w:val="24"/>
          <w:szCs w:val="24"/>
        </w:rPr>
      </w:pPr>
      <w:r>
        <w:rPr>
          <w:rFonts w:hAnsi="宋体" w:hint="eastAsia"/>
          <w:color w:val="auto"/>
          <w:sz w:val="24"/>
          <w:szCs w:val="24"/>
        </w:rPr>
        <w:t>四、本公司及其有隶属关系的机构没有参加本次建库工作，且与建库单位没有隶属关系或其他利害关系。</w:t>
      </w:r>
    </w:p>
    <w:p w:rsidR="006E1427" w:rsidRDefault="00DF58B0">
      <w:pPr>
        <w:pStyle w:val="a6"/>
        <w:rPr>
          <w:rFonts w:hAnsi="宋体"/>
          <w:color w:val="auto"/>
          <w:sz w:val="24"/>
        </w:rPr>
      </w:pPr>
      <w:r>
        <w:rPr>
          <w:rFonts w:hAnsi="宋体" w:hint="eastAsia"/>
          <w:color w:val="auto"/>
          <w:sz w:val="24"/>
          <w:szCs w:val="24"/>
        </w:rPr>
        <w:t>五、本公司承诺自觉接受广州市白云区建筑业联合会的约束和管理。</w:t>
      </w:r>
    </w:p>
    <w:p w:rsidR="006E1427" w:rsidRDefault="00DF58B0">
      <w:pPr>
        <w:pStyle w:val="a6"/>
        <w:rPr>
          <w:b/>
          <w:color w:val="auto"/>
          <w:sz w:val="24"/>
          <w:szCs w:val="24"/>
        </w:rPr>
      </w:pPr>
      <w:r>
        <w:rPr>
          <w:rFonts w:hAnsi="宋体" w:hint="eastAsia"/>
          <w:b/>
          <w:color w:val="auto"/>
          <w:sz w:val="24"/>
          <w:szCs w:val="24"/>
        </w:rPr>
        <w:t>本公司违反上述声明内容，或本声明陈述与事实不符，经查实，本公司愿意接受相应处罚，并承担由此带来的后果，包括但不限于：通报批评、记录不良行为、列入黑名单、暂停参加广州市白云区建筑业联合会征集</w:t>
      </w:r>
      <w:r w:rsidR="00AF1CAD">
        <w:rPr>
          <w:rFonts w:hAnsi="宋体" w:hint="eastAsia"/>
          <w:b/>
          <w:color w:val="auto"/>
          <w:sz w:val="24"/>
          <w:szCs w:val="24"/>
        </w:rPr>
        <w:t>品牌</w:t>
      </w:r>
      <w:r>
        <w:rPr>
          <w:rFonts w:hAnsi="宋体" w:hint="eastAsia"/>
          <w:b/>
          <w:color w:val="auto"/>
          <w:sz w:val="24"/>
          <w:szCs w:val="24"/>
        </w:rPr>
        <w:t>供应商库交易活动并直至清出供应商库。</w:t>
      </w:r>
    </w:p>
    <w:p w:rsidR="006E1427" w:rsidRDefault="00DF58B0">
      <w:pPr>
        <w:pStyle w:val="a6"/>
        <w:rPr>
          <w:color w:val="auto"/>
          <w:sz w:val="24"/>
          <w:szCs w:val="24"/>
        </w:rPr>
      </w:pPr>
      <w:r>
        <w:rPr>
          <w:rFonts w:hAnsi="宋体" w:hint="eastAsia"/>
          <w:color w:val="auto"/>
          <w:sz w:val="24"/>
          <w:szCs w:val="24"/>
        </w:rPr>
        <w:t>特此声明。</w:t>
      </w:r>
    </w:p>
    <w:p w:rsidR="006E1427" w:rsidRDefault="006E1427">
      <w:pPr>
        <w:pStyle w:val="a7"/>
        <w:ind w:left="0" w:right="1449" w:firstLineChars="900" w:firstLine="2160"/>
        <w:rPr>
          <w:color w:val="auto"/>
          <w:sz w:val="24"/>
          <w:szCs w:val="24"/>
        </w:rPr>
      </w:pPr>
    </w:p>
    <w:p w:rsidR="006E1427" w:rsidRDefault="006E1427">
      <w:pPr>
        <w:pStyle w:val="a7"/>
        <w:ind w:left="0" w:right="1449"/>
        <w:jc w:val="right"/>
        <w:rPr>
          <w:color w:val="auto"/>
          <w:sz w:val="24"/>
          <w:szCs w:val="24"/>
        </w:rPr>
      </w:pPr>
    </w:p>
    <w:p w:rsidR="006E1427" w:rsidRDefault="00DF58B0">
      <w:pPr>
        <w:pStyle w:val="a7"/>
        <w:ind w:left="0" w:right="1449"/>
        <w:jc w:val="right"/>
        <w:rPr>
          <w:rFonts w:hAnsi="宋体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声明企业：</w:t>
      </w:r>
      <w:r>
        <w:rPr>
          <w:rFonts w:hAnsi="宋体" w:hint="eastAsia"/>
          <w:color w:val="auto"/>
          <w:sz w:val="24"/>
          <w:szCs w:val="24"/>
        </w:rPr>
        <w:t>(</w:t>
      </w:r>
      <w:r>
        <w:rPr>
          <w:rFonts w:hAnsi="宋体" w:hint="eastAsia"/>
          <w:color w:val="auto"/>
          <w:sz w:val="24"/>
          <w:szCs w:val="24"/>
        </w:rPr>
        <w:t>企业公章</w:t>
      </w:r>
      <w:r>
        <w:rPr>
          <w:rFonts w:hAnsi="宋体" w:hint="eastAsia"/>
          <w:color w:val="auto"/>
          <w:sz w:val="24"/>
          <w:szCs w:val="24"/>
        </w:rPr>
        <w:t>)</w:t>
      </w:r>
    </w:p>
    <w:p w:rsidR="006E1427" w:rsidRDefault="00DF58B0">
      <w:pPr>
        <w:pStyle w:val="a6"/>
        <w:ind w:right="1449" w:firstLine="0"/>
        <w:jc w:val="center"/>
        <w:rPr>
          <w:color w:val="auto"/>
          <w:sz w:val="28"/>
          <w:szCs w:val="28"/>
        </w:rPr>
      </w:pPr>
      <w:r>
        <w:rPr>
          <w:rFonts w:hAnsi="宋体" w:hint="eastAsia"/>
          <w:color w:val="auto"/>
          <w:sz w:val="24"/>
          <w:szCs w:val="24"/>
        </w:rPr>
        <w:t xml:space="preserve">                          </w:t>
      </w:r>
      <w:r>
        <w:rPr>
          <w:rFonts w:hAnsi="宋体" w:hint="eastAsia"/>
          <w:color w:val="auto"/>
          <w:sz w:val="24"/>
          <w:szCs w:val="24"/>
        </w:rPr>
        <w:t>法定代表人签字或盖章：</w:t>
      </w:r>
    </w:p>
    <w:p w:rsidR="006E1427" w:rsidRDefault="00DF58B0">
      <w:pPr>
        <w:pStyle w:val="a6"/>
        <w:ind w:right="2529"/>
        <w:jc w:val="right"/>
        <w:rPr>
          <w:rFonts w:hAnsi="宋体"/>
          <w:color w:val="auto"/>
          <w:sz w:val="24"/>
          <w:szCs w:val="24"/>
        </w:rPr>
      </w:pPr>
      <w:r>
        <w:rPr>
          <w:rFonts w:hAnsi="宋体" w:hint="eastAsia"/>
          <w:color w:val="auto"/>
          <w:sz w:val="24"/>
          <w:szCs w:val="24"/>
        </w:rPr>
        <w:t xml:space="preserve">201   </w:t>
      </w:r>
      <w:r>
        <w:rPr>
          <w:rFonts w:hAnsi="宋体" w:hint="eastAsia"/>
          <w:color w:val="auto"/>
          <w:sz w:val="24"/>
          <w:szCs w:val="24"/>
        </w:rPr>
        <w:t>年</w:t>
      </w:r>
      <w:r>
        <w:rPr>
          <w:rFonts w:hAnsi="宋体" w:hint="eastAsia"/>
          <w:color w:val="auto"/>
          <w:sz w:val="24"/>
          <w:szCs w:val="24"/>
        </w:rPr>
        <w:t xml:space="preserve">   </w:t>
      </w:r>
      <w:r>
        <w:rPr>
          <w:rFonts w:hAnsi="宋体" w:hint="eastAsia"/>
          <w:color w:val="auto"/>
          <w:sz w:val="24"/>
          <w:szCs w:val="24"/>
        </w:rPr>
        <w:t>月</w:t>
      </w:r>
      <w:r>
        <w:rPr>
          <w:rFonts w:hAnsi="宋体" w:hint="eastAsia"/>
          <w:color w:val="auto"/>
          <w:sz w:val="24"/>
          <w:szCs w:val="24"/>
        </w:rPr>
        <w:t xml:space="preserve">  </w:t>
      </w:r>
      <w:r>
        <w:rPr>
          <w:rFonts w:hAnsi="宋体" w:hint="eastAsia"/>
          <w:color w:val="auto"/>
          <w:sz w:val="24"/>
          <w:szCs w:val="24"/>
        </w:rPr>
        <w:t>日</w:t>
      </w:r>
    </w:p>
    <w:p w:rsidR="006E1427" w:rsidRDefault="006E1427"/>
    <w:p w:rsidR="006E1427" w:rsidRDefault="006E1427"/>
    <w:sectPr w:rsidR="006E1427" w:rsidSect="006E14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8B0" w:rsidRDefault="00DF58B0" w:rsidP="00AF1CAD">
      <w:r>
        <w:separator/>
      </w:r>
    </w:p>
  </w:endnote>
  <w:endnote w:type="continuationSeparator" w:id="1">
    <w:p w:rsidR="00DF58B0" w:rsidRDefault="00DF58B0" w:rsidP="00AF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8B0" w:rsidRDefault="00DF58B0" w:rsidP="00AF1CAD">
      <w:r>
        <w:separator/>
      </w:r>
    </w:p>
  </w:footnote>
  <w:footnote w:type="continuationSeparator" w:id="1">
    <w:p w:rsidR="00DF58B0" w:rsidRDefault="00DF58B0" w:rsidP="00AF1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DBF"/>
    <w:rsid w:val="00065E6E"/>
    <w:rsid w:val="000E72E9"/>
    <w:rsid w:val="000F0B95"/>
    <w:rsid w:val="000F1BCA"/>
    <w:rsid w:val="00197E8A"/>
    <w:rsid w:val="001A770B"/>
    <w:rsid w:val="001B6288"/>
    <w:rsid w:val="001D5FE8"/>
    <w:rsid w:val="0031237D"/>
    <w:rsid w:val="00376568"/>
    <w:rsid w:val="003F78FF"/>
    <w:rsid w:val="004A0394"/>
    <w:rsid w:val="004F781B"/>
    <w:rsid w:val="00546DF7"/>
    <w:rsid w:val="005D1766"/>
    <w:rsid w:val="006E1427"/>
    <w:rsid w:val="00742C26"/>
    <w:rsid w:val="00761230"/>
    <w:rsid w:val="008B5EBE"/>
    <w:rsid w:val="008F744B"/>
    <w:rsid w:val="00A04462"/>
    <w:rsid w:val="00A52275"/>
    <w:rsid w:val="00AF1CAD"/>
    <w:rsid w:val="00B56E83"/>
    <w:rsid w:val="00C05C42"/>
    <w:rsid w:val="00CE3A05"/>
    <w:rsid w:val="00D21361"/>
    <w:rsid w:val="00DF58B0"/>
    <w:rsid w:val="00E25CA8"/>
    <w:rsid w:val="00EA180D"/>
    <w:rsid w:val="00F44DBF"/>
    <w:rsid w:val="00F736DA"/>
    <w:rsid w:val="01AB010F"/>
    <w:rsid w:val="01D44915"/>
    <w:rsid w:val="05AE2E2C"/>
    <w:rsid w:val="100F3F2F"/>
    <w:rsid w:val="2872065E"/>
    <w:rsid w:val="532173A7"/>
    <w:rsid w:val="62DA5D5F"/>
    <w:rsid w:val="6F68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3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42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rsid w:val="006E14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Char"/>
    <w:uiPriority w:val="99"/>
    <w:unhideWhenUsed/>
    <w:qFormat/>
    <w:rsid w:val="006E1427"/>
    <w:pPr>
      <w:spacing w:before="100" w:beforeAutospacing="1" w:after="120"/>
    </w:pPr>
    <w:rPr>
      <w:rFonts w:ascii="宋体" w:hAnsi="宋体" w:cs="宋体"/>
      <w:kern w:val="0"/>
      <w:sz w:val="16"/>
      <w:szCs w:val="16"/>
    </w:rPr>
  </w:style>
  <w:style w:type="paragraph" w:styleId="a3">
    <w:name w:val="footer"/>
    <w:basedOn w:val="a"/>
    <w:link w:val="Char"/>
    <w:qFormat/>
    <w:rsid w:val="006E1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E1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公文标题"/>
    <w:basedOn w:val="3"/>
    <w:qFormat/>
    <w:rsid w:val="006E1427"/>
    <w:pPr>
      <w:spacing w:line="240" w:lineRule="auto"/>
      <w:ind w:left="1469" w:right="1542"/>
      <w:jc w:val="center"/>
    </w:pPr>
    <w:rPr>
      <w:bCs w:val="0"/>
      <w:sz w:val="44"/>
      <w:szCs w:val="24"/>
    </w:rPr>
  </w:style>
  <w:style w:type="paragraph" w:customStyle="1" w:styleId="a6">
    <w:name w:val="公文正文"/>
    <w:qFormat/>
    <w:rsid w:val="006E1427"/>
    <w:pPr>
      <w:widowControl w:val="0"/>
      <w:spacing w:line="360" w:lineRule="auto"/>
      <w:ind w:firstLine="629"/>
      <w:jc w:val="both"/>
    </w:pPr>
    <w:rPr>
      <w:rFonts w:ascii="仿宋_GB2312" w:eastAsia="仿宋_GB2312" w:hAnsi="Calisto MT"/>
      <w:color w:val="000000"/>
      <w:sz w:val="32"/>
    </w:rPr>
  </w:style>
  <w:style w:type="paragraph" w:customStyle="1" w:styleId="a7">
    <w:name w:val="发文落款"/>
    <w:basedOn w:val="a6"/>
    <w:qFormat/>
    <w:rsid w:val="006E1427"/>
    <w:pPr>
      <w:ind w:left="4094" w:right="607" w:firstLine="0"/>
      <w:jc w:val="center"/>
    </w:pPr>
  </w:style>
  <w:style w:type="character" w:customStyle="1" w:styleId="Char">
    <w:name w:val="页脚 Char"/>
    <w:basedOn w:val="a0"/>
    <w:link w:val="a3"/>
    <w:qFormat/>
    <w:rsid w:val="006E1427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sid w:val="006E1427"/>
    <w:rPr>
      <w:rFonts w:ascii="Calibri" w:hAnsi="Calibri"/>
      <w:kern w:val="2"/>
      <w:sz w:val="18"/>
      <w:szCs w:val="18"/>
    </w:rPr>
  </w:style>
  <w:style w:type="character" w:customStyle="1" w:styleId="15">
    <w:name w:val="15"/>
    <w:basedOn w:val="a0"/>
    <w:qFormat/>
    <w:rsid w:val="006E1427"/>
    <w:rPr>
      <w:rFonts w:ascii="Times New Roman" w:hAnsi="Times New Roman" w:cs="Times New Roman" w:hint="default"/>
      <w:b/>
      <w:bCs/>
    </w:rPr>
  </w:style>
  <w:style w:type="character" w:customStyle="1" w:styleId="3Char">
    <w:name w:val="正文文本 3 Char"/>
    <w:basedOn w:val="a0"/>
    <w:link w:val="30"/>
    <w:uiPriority w:val="99"/>
    <w:qFormat/>
    <w:rsid w:val="006E1427"/>
    <w:rPr>
      <w:rFonts w:ascii="宋体" w:hAnsi="宋体" w:cs="宋体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13</cp:revision>
  <dcterms:created xsi:type="dcterms:W3CDTF">2019-07-12T03:03:00Z</dcterms:created>
  <dcterms:modified xsi:type="dcterms:W3CDTF">2019-08-06T08:52:00Z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